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90051800325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DEI GEOLOGI FRIULI VENEZIA GIULIA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Friuli-Venezia Giulia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LUIGI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PERRICONE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Resposabile PCT Ordine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28/07/2017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/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/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assenza del personale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Ai sensi dell’art. 15, co. 1, del D. Lgs. n. 39/2013 il RPCT verifica che all’interno dell’Ordine siano rispettate le disposizioni in materia di inconferibilità e incompatibilità degli incarichi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  <w:br/>
        <w:t>assenza di personale</w:t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 xml:space="preserve">La misura “Formazione”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La formazione è prevista per il ruolo del RPCT</w:t>
      </w:r>
    </w:p>
    <w:p w14:paraId="4B003C97" w14:textId="526889A5" w:rsidP="00354388" w:rsidR="00554955" w:rsidRDefault="00554955">
      <w:r>
        <w:t/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“Amministrazione trasparente”, traccia il numero delle visite, in particolare nell’anno di riferimento del PTPCT o della sezione Anticorruzione e Trasparenza del PIAO, il numero totale delle visite al sito ammonta a 250.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L'obbligo è stato assolto e non si sono evidenziate particolari criticità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si sono identificati elementi tali da dover preocedere a definire tale misura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si sono identificati elementi tali da dover preocedere a definire tale misura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si sono identificati elementi tali da dover preocedere a definire tale misura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>Nel PTPCT o nella sezione Anticorruzione e Trasparenza del PIAOi n esame non sono state programmate misure specifiche. Le ragioni alla base della mancata programmazione delle misure specifiche sono di seguito riportate:  non si sono identificati elementi tali da dover preocedere a definire tale misura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per quanto il rischio del fenomeno corruttivo in riferimento alle attività ordinistiche è molto basso, la cultura della trasparenza e della corretta gestione amministrativa si radica maggiormente col tempo</w:t>
        <w:br/>
        <w:t xml:space="preserve">  - la capacità di individuare e far emergere situazioni di rischio corruttivo e di intervenire con adeguati rimedi  è rimasta invariata in ragione di le situazioni di rischio corruttivo non sono mai emerse nell'attività ordinistica</w:t>
        <w:br/>
        <w:t xml:space="preserve">  - la reputazione dell'ente  è rimasta invariata in ragione di il rischio corruttivo non è mai stato un elemento di verifica sulla reputazione dell'ente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la ridotta attività dell'ente, i limitati rischi corruttivi ad essa connessi e l'assenza di qualsiasi episodio corruttivo fanno valutare positivamente lo stato di attuazione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ragioni:le strategie risultano idonee e probabilmente sovradimensionate rispetto alle ridotte attività dell'ente e alla sua semplicità strutturale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ragioni:la figura del RPCT è entrata ormai a far parte, oltre che dal punto di vista normativo, anche culturalmente nel flusso delle attività dell'ente e quindi è figura riconosciuta ed eventualmente interpellata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